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C33BDD" w:rsidRDefault="00F92268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C33BDD">
              <w:rPr>
                <w:rFonts w:cs="Arial"/>
                <w:sz w:val="16"/>
                <w:szCs w:val="16"/>
              </w:rPr>
              <w:t>Reference number(s)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0A3A3B9C" w:rsidR="00F92268" w:rsidRPr="00C33BDD" w:rsidRDefault="00E75CBD" w:rsidP="000025F0">
            <w:pPr>
              <w:pStyle w:val="Header"/>
              <w:rPr>
                <w:rFonts w:cs="Arial"/>
                <w:color w:val="FF0000"/>
                <w:sz w:val="16"/>
                <w:szCs w:val="16"/>
              </w:rPr>
            </w:pPr>
            <w:r w:rsidRPr="00C33BDD">
              <w:rPr>
                <w:rFonts w:cs="Arial"/>
                <w:sz w:val="16"/>
                <w:szCs w:val="16"/>
              </w:rPr>
              <w:t>1972-A, 6051-A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6845ED62" w:rsidR="004B15BB" w:rsidRPr="00BD1CC1" w:rsidRDefault="00AF16CF" w:rsidP="007E5C16">
      <w:pPr>
        <w:pStyle w:val="Heading1"/>
      </w:pPr>
      <w:r>
        <w:t>Specialty Guideline Management</w:t>
      </w:r>
      <w:r w:rsidR="008C54D9" w:rsidRPr="00BD1CC1">
        <w:br/>
      </w:r>
      <w:r w:rsidRPr="00AF16CF">
        <w:t>L</w:t>
      </w:r>
      <w:r>
        <w:t>upron</w:t>
      </w:r>
      <w:r w:rsidRPr="00AF16CF">
        <w:t xml:space="preserve"> D</w:t>
      </w:r>
      <w:r>
        <w:t>epot</w:t>
      </w:r>
      <w:r w:rsidRPr="00AF16CF">
        <w:t>-P</w:t>
      </w:r>
      <w:r w:rsidR="008265D5">
        <w:t>ED</w:t>
      </w:r>
    </w:p>
    <w:p w14:paraId="78861C92" w14:textId="03C31B1B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3A5CBD95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proofErr w:type="gramStart"/>
      <w:r w:rsidR="00924A93" w:rsidRPr="00924A93">
        <w:t>Over-the-counter</w:t>
      </w:r>
      <w:proofErr w:type="gramEnd"/>
      <w:r w:rsidR="00924A93" w:rsidRPr="00924A93">
        <w:t xml:space="preserve"> (OTC)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460"/>
        <w:gridCol w:w="5400"/>
      </w:tblGrid>
      <w:tr w:rsidR="009D129E" w:rsidRPr="00BD1CC1" w14:paraId="158421F8" w14:textId="5D331BDB" w:rsidTr="00E1351D">
        <w:trPr>
          <w:cantSplit/>
          <w:trHeight w:val="288"/>
          <w:tblHeader/>
        </w:trPr>
        <w:tc>
          <w:tcPr>
            <w:tcW w:w="5460" w:type="dxa"/>
            <w:vAlign w:val="center"/>
          </w:tcPr>
          <w:p w14:paraId="2A27354A" w14:textId="1390179E" w:rsidR="009D129E" w:rsidRPr="00BD1CC1" w:rsidRDefault="009D129E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400" w:type="dxa"/>
            <w:vAlign w:val="center"/>
          </w:tcPr>
          <w:p w14:paraId="3D342BE1" w14:textId="75F11EF1" w:rsidR="009D129E" w:rsidRPr="00BD1CC1" w:rsidRDefault="009D129E" w:rsidP="00AA1E6A">
            <w:pPr>
              <w:pStyle w:val="TableHeader"/>
            </w:pPr>
            <w:r w:rsidRPr="00BD1CC1">
              <w:t>Generic Name</w:t>
            </w:r>
          </w:p>
        </w:tc>
      </w:tr>
      <w:tr w:rsidR="009D129E" w:rsidRPr="00BD1CC1" w14:paraId="2AD5C02D" w14:textId="513DF48B" w:rsidTr="00E1351D">
        <w:trPr>
          <w:cantSplit/>
        </w:trPr>
        <w:tc>
          <w:tcPr>
            <w:tcW w:w="5460" w:type="dxa"/>
          </w:tcPr>
          <w:p w14:paraId="2D8FA8E3" w14:textId="60FC9DBC" w:rsidR="009D129E" w:rsidRPr="00BD1CC1" w:rsidRDefault="009D129E" w:rsidP="00E82ABA">
            <w:pPr>
              <w:pStyle w:val="TableDataUnpadded"/>
            </w:pPr>
            <w:r w:rsidRPr="00AF16CF">
              <w:t>Lupron Depot-P</w:t>
            </w:r>
            <w:r>
              <w:t>ED</w:t>
            </w:r>
          </w:p>
        </w:tc>
        <w:tc>
          <w:tcPr>
            <w:tcW w:w="5400" w:type="dxa"/>
          </w:tcPr>
          <w:p w14:paraId="7E26A004" w14:textId="6FCAEF2B" w:rsidR="009D129E" w:rsidRPr="00BD1CC1" w:rsidRDefault="009D129E" w:rsidP="00E82ABA">
            <w:pPr>
              <w:pStyle w:val="TableDataUnpadded"/>
            </w:pPr>
            <w:r>
              <w:t>leuprolide acetate depot suspension</w:t>
            </w:r>
          </w:p>
        </w:tc>
      </w:tr>
    </w:tbl>
    <w:bookmarkEnd w:id="0"/>
    <w:p w14:paraId="14CE6108" w14:textId="0545FE5B" w:rsidR="00FC1AAD" w:rsidRDefault="00ED052F" w:rsidP="00ED052F">
      <w:pPr>
        <w:pStyle w:val="Heading2"/>
      </w:pPr>
      <w:r>
        <w:t>Indications</w:t>
      </w:r>
    </w:p>
    <w:p w14:paraId="693B9052" w14:textId="02999808" w:rsidR="00AF16CF" w:rsidRPr="00AF16CF" w:rsidRDefault="00AF16CF" w:rsidP="00AF16CF">
      <w:pPr>
        <w:pStyle w:val="BodyText"/>
      </w:pPr>
      <w:r w:rsidRPr="00AF16CF">
        <w:t xml:space="preserve">The indications below including FDA-approved indications and compendial uses are considered a covered benefit provided that all the approval criteria are </w:t>
      </w:r>
      <w:proofErr w:type="gramStart"/>
      <w:r w:rsidRPr="00AF16CF">
        <w:t>met</w:t>
      </w:r>
      <w:proofErr w:type="gramEnd"/>
      <w:r w:rsidRPr="00AF16CF">
        <w:t xml:space="preserve"> and the member has no exclusions to the prescribed therapy.</w:t>
      </w:r>
    </w:p>
    <w:p w14:paraId="134B5687" w14:textId="5BA38DC2" w:rsidR="00ED052F" w:rsidRPr="00C47D00" w:rsidRDefault="00ED052F" w:rsidP="00ED052F">
      <w:pPr>
        <w:pStyle w:val="Heading3"/>
        <w:keepNext w:val="0"/>
        <w:rPr>
          <w:vertAlign w:val="superscript"/>
        </w:rPr>
      </w:pPr>
      <w:r w:rsidRPr="00BD1CC1">
        <w:t>FDA-</w:t>
      </w:r>
      <w:r w:rsidR="009E0741">
        <w:t>A</w:t>
      </w:r>
      <w:r w:rsidRPr="00BD1CC1">
        <w:t>pproved Indication</w:t>
      </w:r>
      <w:r w:rsidR="00BE35E9">
        <w:rPr>
          <w:vertAlign w:val="superscript"/>
        </w:rPr>
        <w:t>1</w:t>
      </w:r>
    </w:p>
    <w:p w14:paraId="3058A5F8" w14:textId="2CADA54C" w:rsidR="005C778C" w:rsidRPr="00255903" w:rsidRDefault="00AF16CF" w:rsidP="00255903">
      <w:r w:rsidRPr="00AF16CF">
        <w:t>Lupron Depot-PED is indicated for the treatment of pediatric patients with central precocious puberty (CPP).</w:t>
      </w:r>
    </w:p>
    <w:p w14:paraId="0B5EC236" w14:textId="0296B3DD" w:rsidR="0044763A" w:rsidRPr="00C47D00" w:rsidRDefault="009F2EF1" w:rsidP="0044763A">
      <w:pPr>
        <w:pStyle w:val="Heading3"/>
        <w:rPr>
          <w:vertAlign w:val="superscript"/>
        </w:rPr>
      </w:pPr>
      <w:r>
        <w:t>Compendial Uses</w:t>
      </w:r>
      <w:r w:rsidR="00231A30">
        <w:rPr>
          <w:vertAlign w:val="superscript"/>
        </w:rPr>
        <w:t>7-</w:t>
      </w:r>
      <w:r w:rsidR="00BC63B0">
        <w:rPr>
          <w:vertAlign w:val="superscript"/>
        </w:rPr>
        <w:t>9</w:t>
      </w:r>
    </w:p>
    <w:p w14:paraId="1D66C909" w14:textId="211AD50E" w:rsidR="00AF16CF" w:rsidRDefault="00AF16CF" w:rsidP="00AF16CF">
      <w:pPr>
        <w:pStyle w:val="BodyText"/>
      </w:pPr>
      <w:r>
        <w:t xml:space="preserve">Gender dysphoria (also known as transgender and gender diverse </w:t>
      </w:r>
      <w:r w:rsidR="479D8548">
        <w:t>[</w:t>
      </w:r>
      <w:r>
        <w:t>TGD</w:t>
      </w:r>
      <w:r w:rsidR="79430E2A">
        <w:t>]</w:t>
      </w:r>
      <w:r>
        <w:t xml:space="preserve"> persons)</w:t>
      </w:r>
    </w:p>
    <w:p w14:paraId="231F2CB5" w14:textId="17933E2B" w:rsidR="00355398" w:rsidRPr="00AF16CF" w:rsidRDefault="00355398" w:rsidP="00AF16CF">
      <w:pPr>
        <w:pStyle w:val="BodyText"/>
      </w:pPr>
      <w:r w:rsidRPr="00355398">
        <w:t>All other indications are considered experimental/investigational and not medically necessary.</w:t>
      </w:r>
    </w:p>
    <w:p w14:paraId="36381B6D" w14:textId="7E56CA5F" w:rsidR="000D2496" w:rsidRPr="00BD1CC1" w:rsidRDefault="000D2496" w:rsidP="00C33BDD">
      <w:pPr>
        <w:pStyle w:val="Heading2"/>
        <w:tabs>
          <w:tab w:val="right" w:pos="10800"/>
        </w:tabs>
      </w:pPr>
      <w:r w:rsidRPr="00BD1CC1">
        <w:t>Documentation</w:t>
      </w:r>
    </w:p>
    <w:p w14:paraId="28580C50" w14:textId="7F8552AF" w:rsidR="00355398" w:rsidRDefault="00355398" w:rsidP="000D2496">
      <w:pPr>
        <w:pStyle w:val="BodyText"/>
      </w:pPr>
      <w:r w:rsidRPr="00355398">
        <w:t xml:space="preserve">Submission of the following information is necessary to initiate the prior authorization review: For central precocious puberty, laboratory report or medical record of a pubertal response to a gonadotropin </w:t>
      </w:r>
      <w:r w:rsidRPr="00355398">
        <w:lastRenderedPageBreak/>
        <w:t>releasing hormone (GnRH) agonist test or a pubertal level of a third-generation luteinizing hormone (LH) assay.</w:t>
      </w:r>
    </w:p>
    <w:p w14:paraId="4A5B15F8" w14:textId="21F65883" w:rsidR="00006174" w:rsidRPr="00C47D00" w:rsidRDefault="00006174" w:rsidP="00006174">
      <w:pPr>
        <w:pStyle w:val="Heading2"/>
        <w:rPr>
          <w:vertAlign w:val="superscript"/>
        </w:rPr>
      </w:pPr>
      <w:r w:rsidRPr="00BD1CC1">
        <w:t>Prescriber Specialties</w:t>
      </w:r>
      <w:r w:rsidR="003A6F74">
        <w:rPr>
          <w:vertAlign w:val="superscript"/>
        </w:rPr>
        <w:t>12</w:t>
      </w:r>
    </w:p>
    <w:p w14:paraId="103CC65B" w14:textId="305852C8" w:rsidR="00AF63D8" w:rsidRDefault="00AF63D8" w:rsidP="00006174">
      <w:pPr>
        <w:pStyle w:val="BodyText"/>
      </w:pPr>
      <w:r w:rsidRPr="00AF63D8">
        <w:t>For gender dysphoria, the medication must be prescribed by or in consultation with a provider specialized in the care of transgender youth (e.g., pediatric endocrinologist, family or internal medicine physician, obstetrician-gynecologist) that has collaborated care with a mental health provider for members less than 18 years of age.</w:t>
      </w:r>
    </w:p>
    <w:p w14:paraId="50A38FBA" w14:textId="2889762E" w:rsidR="00FE0C63" w:rsidRPr="00CD7473" w:rsidRDefault="00685107" w:rsidP="00E050E1">
      <w:pPr>
        <w:pStyle w:val="Heading2"/>
      </w:pPr>
      <w:r>
        <w:t>Coverage Criteria</w:t>
      </w:r>
    </w:p>
    <w:p w14:paraId="5E357792" w14:textId="1945AFE0" w:rsidR="00C22F9B" w:rsidRPr="00C47D00" w:rsidRDefault="00AF63D8" w:rsidP="00C22F9B">
      <w:pPr>
        <w:pStyle w:val="Heading3"/>
        <w:rPr>
          <w:vertAlign w:val="superscript"/>
        </w:rPr>
      </w:pPr>
      <w:r>
        <w:t xml:space="preserve">Central </w:t>
      </w:r>
      <w:r w:rsidR="1A61DBC5">
        <w:t>P</w:t>
      </w:r>
      <w:r>
        <w:t xml:space="preserve">recocious </w:t>
      </w:r>
      <w:r w:rsidR="5AD05D4E">
        <w:t>P</w:t>
      </w:r>
      <w:r>
        <w:t>uberty (CPP</w:t>
      </w:r>
      <w:r w:rsidR="00C22F9B">
        <w:t>)</w:t>
      </w:r>
      <w:r w:rsidR="00916D0B" w:rsidRPr="7BADDF7E">
        <w:rPr>
          <w:vertAlign w:val="superscript"/>
        </w:rPr>
        <w:t>1-6,</w:t>
      </w:r>
      <w:r w:rsidR="002C6711" w:rsidRPr="7BADDF7E">
        <w:rPr>
          <w:vertAlign w:val="superscript"/>
        </w:rPr>
        <w:t>10</w:t>
      </w:r>
    </w:p>
    <w:p w14:paraId="0D9BB519" w14:textId="42340163" w:rsidR="00AF63D8" w:rsidRDefault="00AF63D8" w:rsidP="00AF63D8">
      <w:pPr>
        <w:pStyle w:val="BodyText"/>
      </w:pPr>
      <w:r w:rsidRPr="00AF63D8">
        <w:t xml:space="preserve">Authorization of 12 months may be granted for treatment of CPP when </w:t>
      </w:r>
      <w:proofErr w:type="gramStart"/>
      <w:r w:rsidRPr="00AF63D8">
        <w:t>all of</w:t>
      </w:r>
      <w:proofErr w:type="gramEnd"/>
      <w:r w:rsidRPr="00AF63D8">
        <w:t xml:space="preserve"> the following criteria are met:</w:t>
      </w:r>
    </w:p>
    <w:p w14:paraId="5DCB94E1" w14:textId="1462696D" w:rsidR="00AF63D8" w:rsidRDefault="00AF63D8" w:rsidP="00AF63D8">
      <w:pPr>
        <w:pStyle w:val="ListParagraph"/>
      </w:pPr>
      <w:r>
        <w:t>The diagnosis of CPP has been confirmed by a pubertal response to a gonadotropin releasing hormone (GnRH) agonist test or a pubertal level of a third-generation luteinizing hormone (LH) assay.</w:t>
      </w:r>
    </w:p>
    <w:p w14:paraId="661B5281" w14:textId="50A599ED" w:rsidR="00AF63D8" w:rsidRDefault="00AF63D8" w:rsidP="00AF63D8">
      <w:pPr>
        <w:pStyle w:val="ListParagraph"/>
      </w:pPr>
      <w:r>
        <w:t>The assessment of bone age versus chronological age supports the diagnosis of CPP.</w:t>
      </w:r>
    </w:p>
    <w:p w14:paraId="183A19A5" w14:textId="6D776065" w:rsidR="00045E4B" w:rsidRDefault="00045E4B" w:rsidP="00045E4B">
      <w:pPr>
        <w:pStyle w:val="ListParagraph"/>
      </w:pPr>
      <w:r>
        <w:t>The member meets either of the following criteria:</w:t>
      </w:r>
    </w:p>
    <w:p w14:paraId="24D1DC4A" w14:textId="446B10F9" w:rsidR="00AF63D8" w:rsidRDefault="00AF63D8" w:rsidP="00045E4B">
      <w:pPr>
        <w:pStyle w:val="ListParagraph"/>
        <w:numPr>
          <w:ilvl w:val="1"/>
          <w:numId w:val="21"/>
        </w:numPr>
      </w:pPr>
      <w:r>
        <w:t xml:space="preserve">The member </w:t>
      </w:r>
      <w:r w:rsidR="00045E4B">
        <w:t xml:space="preserve">is a female and </w:t>
      </w:r>
      <w:r>
        <w:t>was less than 8 years of age at the onset of secondary sexual characteristics.</w:t>
      </w:r>
    </w:p>
    <w:p w14:paraId="32F688C1" w14:textId="549B66A3" w:rsidR="00045E4B" w:rsidRDefault="00045E4B" w:rsidP="00066705">
      <w:pPr>
        <w:pStyle w:val="ListParagraph"/>
        <w:numPr>
          <w:ilvl w:val="1"/>
          <w:numId w:val="21"/>
        </w:numPr>
      </w:pPr>
      <w:r>
        <w:t>The member is a male and was less than 9 years of age at the onset of secondary sexual characteristics.</w:t>
      </w:r>
    </w:p>
    <w:p w14:paraId="57EE9925" w14:textId="64D379D6" w:rsidR="00045E4B" w:rsidRDefault="00045E4B" w:rsidP="00045E4B">
      <w:pPr>
        <w:pStyle w:val="ListParagraph"/>
      </w:pPr>
      <w:r>
        <w:t>The pathologic cause of CPP has been assessed (e.g., imaging screening for intracranial tumors, genetic testing for familial CPP [e.g., MKRN3 or DLK1 mutations]).</w:t>
      </w:r>
    </w:p>
    <w:p w14:paraId="1D2AE12D" w14:textId="33FAB7FF" w:rsidR="00165258" w:rsidRPr="00C47D00" w:rsidRDefault="00A40FC8" w:rsidP="00165258">
      <w:pPr>
        <w:pStyle w:val="Heading3"/>
        <w:rPr>
          <w:vertAlign w:val="superscript"/>
        </w:rPr>
      </w:pPr>
      <w:r>
        <w:t xml:space="preserve">Gender </w:t>
      </w:r>
      <w:r w:rsidR="0CC4862F">
        <w:t>D</w:t>
      </w:r>
      <w:r>
        <w:t>ysphoria</w:t>
      </w:r>
      <w:r w:rsidR="007628F6" w:rsidRPr="7BADDF7E">
        <w:rPr>
          <w:vertAlign w:val="superscript"/>
        </w:rPr>
        <w:t>7-9</w:t>
      </w:r>
    </w:p>
    <w:p w14:paraId="0968B56B" w14:textId="5EA22C35" w:rsidR="00A40FC8" w:rsidRDefault="00A40FC8" w:rsidP="00165258">
      <w:pPr>
        <w:pStyle w:val="BodyText"/>
      </w:pPr>
      <w:r w:rsidRPr="00A40FC8">
        <w:t xml:space="preserve">Authorization of 12 months may be granted for pubertal hormonal suppression in an adolescent member when </w:t>
      </w:r>
      <w:proofErr w:type="gramStart"/>
      <w:r w:rsidRPr="00A40FC8">
        <w:t>all of</w:t>
      </w:r>
      <w:proofErr w:type="gramEnd"/>
      <w:r w:rsidRPr="00A40FC8">
        <w:t xml:space="preserve"> the following criteria are met:</w:t>
      </w:r>
    </w:p>
    <w:p w14:paraId="6A237FE1" w14:textId="77777777" w:rsidR="00A40FC8" w:rsidRDefault="00A40FC8" w:rsidP="00A40FC8">
      <w:pPr>
        <w:pStyle w:val="ListParagraph"/>
      </w:pPr>
      <w:r>
        <w:t>The member has a diagnosis of gender dysphoria.</w:t>
      </w:r>
    </w:p>
    <w:p w14:paraId="6EEDD6D1" w14:textId="77777777" w:rsidR="00A40FC8" w:rsidRDefault="00A40FC8" w:rsidP="00A40FC8">
      <w:pPr>
        <w:pStyle w:val="ListParagraph"/>
      </w:pPr>
      <w:r>
        <w:t xml:space="preserve">The member </w:t>
      </w:r>
      <w:proofErr w:type="gramStart"/>
      <w:r>
        <w:t>is able to</w:t>
      </w:r>
      <w:proofErr w:type="gramEnd"/>
      <w:r>
        <w:t xml:space="preserve"> make an informed decision to engage in treatment.</w:t>
      </w:r>
    </w:p>
    <w:p w14:paraId="35570856" w14:textId="77777777" w:rsidR="00A40FC8" w:rsidRDefault="00A40FC8" w:rsidP="00A40FC8">
      <w:pPr>
        <w:pStyle w:val="ListParagraph"/>
      </w:pPr>
      <w:r>
        <w:t>The member has reached Tanner stage 2 of puberty or greater.</w:t>
      </w:r>
    </w:p>
    <w:p w14:paraId="66E7A12F" w14:textId="77777777" w:rsidR="00A40FC8" w:rsidRDefault="00A40FC8" w:rsidP="00A40FC8">
      <w:pPr>
        <w:pStyle w:val="ListParagraph"/>
      </w:pPr>
      <w:r>
        <w:t>The member’s comorbid conditions are reasonably controlled.</w:t>
      </w:r>
    </w:p>
    <w:p w14:paraId="5F1F6F06" w14:textId="77777777" w:rsidR="00A40FC8" w:rsidRDefault="00A40FC8" w:rsidP="00A40FC8">
      <w:pPr>
        <w:pStyle w:val="ListParagraph"/>
      </w:pPr>
      <w:r>
        <w:t>The member has been educated on any contraindications and side effects to therapy.</w:t>
      </w:r>
    </w:p>
    <w:p w14:paraId="0E86D1F6" w14:textId="11F57880" w:rsidR="00A40FC8" w:rsidRDefault="00A40FC8" w:rsidP="00A40FC8">
      <w:pPr>
        <w:pStyle w:val="ListParagraph"/>
      </w:pPr>
      <w:r>
        <w:t>The member has been informed of fertility preservation options.</w:t>
      </w:r>
    </w:p>
    <w:p w14:paraId="0813FE12" w14:textId="257EF700" w:rsidR="00A40FC8" w:rsidRPr="006462E1" w:rsidRDefault="00A40FC8" w:rsidP="00C47D00">
      <w:pPr>
        <w:pStyle w:val="BodyText"/>
        <w:spacing w:before="240"/>
      </w:pPr>
      <w:r w:rsidRPr="006462E1">
        <w:lastRenderedPageBreak/>
        <w:t xml:space="preserve">Authorization of 12 months may be granted for gender transition when </w:t>
      </w:r>
      <w:proofErr w:type="gramStart"/>
      <w:r w:rsidRPr="006462E1">
        <w:t>all of</w:t>
      </w:r>
      <w:proofErr w:type="gramEnd"/>
      <w:r w:rsidRPr="006462E1">
        <w:t xml:space="preserve"> the following criteria are met:</w:t>
      </w:r>
    </w:p>
    <w:p w14:paraId="419A0A65" w14:textId="77777777" w:rsidR="00A40FC8" w:rsidRDefault="00A40FC8" w:rsidP="00A40FC8">
      <w:pPr>
        <w:pStyle w:val="ListParagraph"/>
      </w:pPr>
      <w:r>
        <w:t>The member has a diagnosis of gender dysphoria.</w:t>
      </w:r>
    </w:p>
    <w:p w14:paraId="4D8DA2CD" w14:textId="77777777" w:rsidR="00A40FC8" w:rsidRDefault="00A40FC8" w:rsidP="00A40FC8">
      <w:pPr>
        <w:pStyle w:val="ListParagraph"/>
      </w:pPr>
      <w:r>
        <w:t xml:space="preserve">The member </w:t>
      </w:r>
      <w:proofErr w:type="gramStart"/>
      <w:r>
        <w:t>is able to</w:t>
      </w:r>
      <w:proofErr w:type="gramEnd"/>
      <w:r>
        <w:t xml:space="preserve"> make an informed decision to engage in treatment.</w:t>
      </w:r>
    </w:p>
    <w:p w14:paraId="4DAB71B5" w14:textId="77777777" w:rsidR="00A40FC8" w:rsidRDefault="00A40FC8" w:rsidP="00A40FC8">
      <w:pPr>
        <w:pStyle w:val="ListParagraph"/>
      </w:pPr>
      <w:r>
        <w:t xml:space="preserve">The member will receive the requested medication concomitantly with gender-affirming hormones. </w:t>
      </w:r>
    </w:p>
    <w:p w14:paraId="4536016C" w14:textId="77777777" w:rsidR="00A40FC8" w:rsidRDefault="00A40FC8" w:rsidP="00A40FC8">
      <w:pPr>
        <w:pStyle w:val="ListParagraph"/>
      </w:pPr>
      <w:r>
        <w:t>The member’s comorbid conditions are reasonably controlled.</w:t>
      </w:r>
    </w:p>
    <w:p w14:paraId="43E16FD0" w14:textId="77777777" w:rsidR="00A40FC8" w:rsidRDefault="00A40FC8" w:rsidP="00A40FC8">
      <w:pPr>
        <w:pStyle w:val="ListParagraph"/>
      </w:pPr>
      <w:r>
        <w:t>The member has been educated on any contraindications and side effects to therapy.</w:t>
      </w:r>
    </w:p>
    <w:p w14:paraId="111C8FB5" w14:textId="3A8B67C3" w:rsidR="00A40FC8" w:rsidRDefault="00A40FC8" w:rsidP="00A40FC8">
      <w:pPr>
        <w:pStyle w:val="ListParagraph"/>
      </w:pPr>
      <w:r>
        <w:t>The member has been informed of fertility preservation options.</w:t>
      </w:r>
    </w:p>
    <w:p w14:paraId="3A643EC3" w14:textId="629EA694" w:rsidR="00A501AC" w:rsidRPr="00BD1CC1" w:rsidRDefault="00A501AC" w:rsidP="00A501AC">
      <w:pPr>
        <w:pStyle w:val="Heading2"/>
      </w:pPr>
      <w:r w:rsidRPr="00BD1CC1">
        <w:t>Continuation of Therapy</w:t>
      </w:r>
    </w:p>
    <w:p w14:paraId="53570B3D" w14:textId="79142C21" w:rsidR="00A501AC" w:rsidRPr="00C47D00" w:rsidRDefault="00A40FC8" w:rsidP="00A501AC">
      <w:pPr>
        <w:pStyle w:val="Heading3"/>
        <w:rPr>
          <w:vertAlign w:val="superscript"/>
        </w:rPr>
      </w:pPr>
      <w:r>
        <w:t xml:space="preserve">Central </w:t>
      </w:r>
      <w:r w:rsidR="27AB1FC3">
        <w:t>P</w:t>
      </w:r>
      <w:r>
        <w:t xml:space="preserve">recocious </w:t>
      </w:r>
      <w:r w:rsidR="676DAE68">
        <w:t>P</w:t>
      </w:r>
      <w:r>
        <w:t>uberty (CPP)</w:t>
      </w:r>
      <w:r w:rsidR="00685C6D" w:rsidRPr="7BADDF7E">
        <w:rPr>
          <w:vertAlign w:val="superscript"/>
        </w:rPr>
        <w:t>2,4,10</w:t>
      </w:r>
    </w:p>
    <w:p w14:paraId="58A95F5B" w14:textId="2BC2792B" w:rsidR="00A40FC8" w:rsidRDefault="00A40FC8" w:rsidP="00A40FC8">
      <w:pPr>
        <w:pStyle w:val="BodyText"/>
      </w:pPr>
      <w:r>
        <w:t>Authorization of up to 12 months may be granted for continu</w:t>
      </w:r>
      <w:r w:rsidR="00BD51FB">
        <w:t>ed</w:t>
      </w:r>
      <w:r>
        <w:t xml:space="preserve"> </w:t>
      </w:r>
      <w:r w:rsidR="00717770">
        <w:t>treatment</w:t>
      </w:r>
      <w:r>
        <w:t xml:space="preserve"> for CPP </w:t>
      </w:r>
      <w:r w:rsidR="00717770">
        <w:t>when</w:t>
      </w:r>
      <w:r>
        <w:t xml:space="preserve"> the member meets </w:t>
      </w:r>
      <w:proofErr w:type="gramStart"/>
      <w:r w:rsidR="00717770">
        <w:t>all</w:t>
      </w:r>
      <w:r>
        <w:t xml:space="preserve"> of</w:t>
      </w:r>
      <w:proofErr w:type="gramEnd"/>
      <w:r>
        <w:t xml:space="preserve"> the following</w:t>
      </w:r>
      <w:r w:rsidR="00717770">
        <w:t xml:space="preserve"> criteria</w:t>
      </w:r>
      <w:r>
        <w:t xml:space="preserve">: </w:t>
      </w:r>
    </w:p>
    <w:p w14:paraId="74BC09A3" w14:textId="54C906F0" w:rsidR="00A40FC8" w:rsidRDefault="00A40FC8" w:rsidP="00A40FC8">
      <w:pPr>
        <w:pStyle w:val="ListParagraph"/>
      </w:pPr>
      <w:r>
        <w:t>The member is currently receiving the requested medication through a paid pharmacy or medical benefit.</w:t>
      </w:r>
    </w:p>
    <w:p w14:paraId="4C765D17" w14:textId="47C6353F" w:rsidR="00717770" w:rsidRDefault="00717770" w:rsidP="00717770">
      <w:pPr>
        <w:pStyle w:val="ListParagraph"/>
        <w:rPr>
          <w:lang w:eastAsia="en-IN"/>
        </w:rPr>
      </w:pPr>
      <w:r w:rsidRPr="00C036C0">
        <w:rPr>
          <w:lang w:eastAsia="en-IN"/>
        </w:rPr>
        <w:t>The member is either a female less than 12 years of age or a male less than 13 years of age.</w:t>
      </w:r>
    </w:p>
    <w:p w14:paraId="6CCA9B69" w14:textId="418D9B44" w:rsidR="00A40FC8" w:rsidRDefault="00A40FC8" w:rsidP="00A40FC8">
      <w:pPr>
        <w:pStyle w:val="ListParagraph"/>
      </w:pPr>
      <w:r>
        <w:t>The member is not experiencing treatment failure (e.g., clinical pubertal progression, lack of growth deceleration, continued excessive bone age advancement).</w:t>
      </w:r>
    </w:p>
    <w:p w14:paraId="1CB3607E" w14:textId="038D72A9" w:rsidR="00A501AC" w:rsidRPr="00C47D00" w:rsidRDefault="00A40FC8" w:rsidP="00A501AC">
      <w:pPr>
        <w:pStyle w:val="Heading3"/>
        <w:rPr>
          <w:vertAlign w:val="superscript"/>
        </w:rPr>
      </w:pPr>
      <w:r>
        <w:t xml:space="preserve">Gender </w:t>
      </w:r>
      <w:r w:rsidR="2A87B62C">
        <w:t>D</w:t>
      </w:r>
      <w:r>
        <w:t>ysphoria</w:t>
      </w:r>
      <w:r w:rsidR="003820F0" w:rsidRPr="7BADDF7E">
        <w:rPr>
          <w:vertAlign w:val="superscript"/>
        </w:rPr>
        <w:t>11</w:t>
      </w:r>
    </w:p>
    <w:p w14:paraId="288994CC" w14:textId="01E908BD" w:rsidR="00A501AC" w:rsidRDefault="00A40FC8" w:rsidP="00A501AC">
      <w:pPr>
        <w:pStyle w:val="BodyText"/>
      </w:pPr>
      <w:r w:rsidRPr="00A40FC8">
        <w:t xml:space="preserve">Authorization of 12 months may be granted for continued treatment for pubertal hormonal suppression in adolescent members requesting reauthorization when </w:t>
      </w:r>
      <w:proofErr w:type="gramStart"/>
      <w:r w:rsidRPr="00A40FC8">
        <w:t>all of</w:t>
      </w:r>
      <w:proofErr w:type="gramEnd"/>
      <w:r w:rsidRPr="00A40FC8">
        <w:t xml:space="preserve"> the following criteria are met:</w:t>
      </w:r>
    </w:p>
    <w:p w14:paraId="6EE984B8" w14:textId="77777777" w:rsidR="00A40FC8" w:rsidRDefault="00A40FC8" w:rsidP="00A40FC8">
      <w:pPr>
        <w:pStyle w:val="ListParagraph"/>
      </w:pPr>
      <w:r>
        <w:t>The member has a diagnosis of gender dysphoria.</w:t>
      </w:r>
    </w:p>
    <w:p w14:paraId="0F957D29" w14:textId="77777777" w:rsidR="00A40FC8" w:rsidRDefault="00A40FC8" w:rsidP="00A40FC8">
      <w:pPr>
        <w:pStyle w:val="ListParagraph"/>
      </w:pPr>
      <w:r>
        <w:t xml:space="preserve">The member </w:t>
      </w:r>
      <w:proofErr w:type="gramStart"/>
      <w:r>
        <w:t>is able to</w:t>
      </w:r>
      <w:proofErr w:type="gramEnd"/>
      <w:r>
        <w:t xml:space="preserve"> make an informed decision to engage in treatment.</w:t>
      </w:r>
    </w:p>
    <w:p w14:paraId="74EF3A2D" w14:textId="77777777" w:rsidR="00A40FC8" w:rsidRDefault="00A40FC8" w:rsidP="00A40FC8">
      <w:pPr>
        <w:pStyle w:val="ListParagraph"/>
      </w:pPr>
      <w:r>
        <w:t>The member has previously reached Tanner stage 2 of puberty or greater.</w:t>
      </w:r>
    </w:p>
    <w:p w14:paraId="1897B79A" w14:textId="77777777" w:rsidR="00A40FC8" w:rsidRDefault="00A40FC8" w:rsidP="00A40FC8">
      <w:pPr>
        <w:pStyle w:val="ListParagraph"/>
      </w:pPr>
      <w:r>
        <w:t>The member’s comorbid conditions are reasonably controlled.</w:t>
      </w:r>
    </w:p>
    <w:p w14:paraId="0F6B4E1D" w14:textId="77777777" w:rsidR="00A40FC8" w:rsidRDefault="00A40FC8" w:rsidP="00A40FC8">
      <w:pPr>
        <w:pStyle w:val="ListParagraph"/>
      </w:pPr>
      <w:r>
        <w:t>The member has been educated on any contraindications and side effects to therapy.</w:t>
      </w:r>
    </w:p>
    <w:p w14:paraId="6400E54B" w14:textId="744428C8" w:rsidR="00A40FC8" w:rsidRDefault="00A40FC8" w:rsidP="00A40FC8">
      <w:pPr>
        <w:pStyle w:val="ListParagraph"/>
      </w:pPr>
      <w:r>
        <w:t>Before the start of therapy, the member has been informed of fertility preservation options.</w:t>
      </w:r>
    </w:p>
    <w:p w14:paraId="75DD862D" w14:textId="17A08EBA" w:rsidR="00A40FC8" w:rsidRDefault="00A40FC8" w:rsidP="00C47D00">
      <w:pPr>
        <w:pStyle w:val="BodyText"/>
        <w:spacing w:before="240"/>
      </w:pPr>
      <w:r w:rsidRPr="00A40FC8">
        <w:t xml:space="preserve">Authorization of 12 months may be granted for continued treatment for gender transition in members requesting reauthorization when </w:t>
      </w:r>
      <w:proofErr w:type="gramStart"/>
      <w:r w:rsidRPr="00A40FC8">
        <w:t>all of</w:t>
      </w:r>
      <w:proofErr w:type="gramEnd"/>
      <w:r w:rsidRPr="00A40FC8">
        <w:t xml:space="preserve"> the following criteria are met:</w:t>
      </w:r>
    </w:p>
    <w:p w14:paraId="7F52D04E" w14:textId="77777777" w:rsidR="00A40FC8" w:rsidRDefault="00A40FC8" w:rsidP="00A40FC8">
      <w:pPr>
        <w:pStyle w:val="ListParagraph"/>
      </w:pPr>
      <w:r>
        <w:t>The member has a diagnosis of gender dysphoria.</w:t>
      </w:r>
    </w:p>
    <w:p w14:paraId="270E4BEE" w14:textId="77777777" w:rsidR="00A40FC8" w:rsidRDefault="00A40FC8" w:rsidP="00A40FC8">
      <w:pPr>
        <w:pStyle w:val="ListParagraph"/>
      </w:pPr>
      <w:r>
        <w:t xml:space="preserve">The member </w:t>
      </w:r>
      <w:proofErr w:type="gramStart"/>
      <w:r>
        <w:t>is able to</w:t>
      </w:r>
      <w:proofErr w:type="gramEnd"/>
      <w:r>
        <w:t xml:space="preserve"> make an informed decision to engage in treatment.</w:t>
      </w:r>
    </w:p>
    <w:p w14:paraId="6A83AC38" w14:textId="77777777" w:rsidR="00A40FC8" w:rsidRDefault="00A40FC8" w:rsidP="00A40FC8">
      <w:pPr>
        <w:pStyle w:val="ListParagraph"/>
      </w:pPr>
      <w:r>
        <w:t>The member will receive the requested medication concomitantly with gender-affirming hormones.</w:t>
      </w:r>
    </w:p>
    <w:p w14:paraId="5872DA7A" w14:textId="77777777" w:rsidR="00A40FC8" w:rsidRDefault="00A40FC8" w:rsidP="00A40FC8">
      <w:pPr>
        <w:pStyle w:val="ListParagraph"/>
      </w:pPr>
      <w:r>
        <w:t>The member’s comorbid conditions are reasonably controlled.</w:t>
      </w:r>
    </w:p>
    <w:p w14:paraId="49345702" w14:textId="77777777" w:rsidR="00A40FC8" w:rsidRDefault="00A40FC8" w:rsidP="00A40FC8">
      <w:pPr>
        <w:pStyle w:val="ListParagraph"/>
      </w:pPr>
      <w:r>
        <w:lastRenderedPageBreak/>
        <w:t>The member has been educated on any contraindications and side effects to therapy.</w:t>
      </w:r>
    </w:p>
    <w:p w14:paraId="05903D35" w14:textId="77FAB5A6" w:rsidR="00A40FC8" w:rsidRPr="00BD1CC1" w:rsidRDefault="00A40FC8" w:rsidP="00A40FC8">
      <w:pPr>
        <w:pStyle w:val="ListParagraph"/>
      </w:pPr>
      <w:r>
        <w:t>Before the start of therapy, the member has been informed of fertility preservation options.</w:t>
      </w:r>
    </w:p>
    <w:p w14:paraId="05B6DEFF" w14:textId="7B697692" w:rsidR="008B1332" w:rsidRPr="00363EF7" w:rsidRDefault="008B1332" w:rsidP="008B1332">
      <w:pPr>
        <w:pStyle w:val="Heading2"/>
      </w:pPr>
      <w:r w:rsidRPr="00BD1CC1">
        <w:t>Other</w:t>
      </w:r>
    </w:p>
    <w:p w14:paraId="7A2343C5" w14:textId="754DE072" w:rsidR="00D24F6F" w:rsidRPr="00BD1CC1" w:rsidRDefault="00A40FC8" w:rsidP="00A40FC8">
      <w:pPr>
        <w:pStyle w:val="BodyText"/>
        <w:widowControl w:val="0"/>
      </w:pPr>
      <w:r w:rsidRPr="00A40FC8">
        <w:t>Per state regulatory guidelines around gender dysphoria, age restrictions may apply.</w:t>
      </w:r>
    </w:p>
    <w:p w14:paraId="0A275F8B" w14:textId="2C822697" w:rsidR="000E0438" w:rsidRPr="00066705" w:rsidRDefault="000E0438" w:rsidP="000E0438">
      <w:pPr>
        <w:pStyle w:val="Heading2"/>
        <w:rPr>
          <w:vertAlign w:val="superscript"/>
        </w:rPr>
      </w:pPr>
      <w:r w:rsidRPr="008D1B34">
        <w:t>References</w:t>
      </w:r>
    </w:p>
    <w:p w14:paraId="7EAB3FD0" w14:textId="7DF1128D" w:rsidR="00C337E8" w:rsidRPr="00CD7473" w:rsidRDefault="00C337E8" w:rsidP="00C47D00">
      <w:pPr>
        <w:pStyle w:val="ReferenceOrdered"/>
        <w:keepNext w:val="0"/>
        <w:keepLines w:val="0"/>
        <w:numPr>
          <w:ilvl w:val="0"/>
          <w:numId w:val="2"/>
        </w:numPr>
        <w:ind w:left="360"/>
      </w:pPr>
      <w:r w:rsidRPr="00CD7473">
        <w:t xml:space="preserve">Lupron Depot-PED [package insert]. North Chicago, IL: AbbVie Inc.; </w:t>
      </w:r>
      <w:r w:rsidR="00415BC6">
        <w:t>April 2023</w:t>
      </w:r>
      <w:r w:rsidRPr="00CD7473">
        <w:t>.</w:t>
      </w:r>
    </w:p>
    <w:p w14:paraId="0ABC1CB4" w14:textId="77777777" w:rsidR="00C337E8" w:rsidRPr="00CD7473" w:rsidRDefault="00C337E8" w:rsidP="00C47D00">
      <w:pPr>
        <w:pStyle w:val="ReferenceOrdered"/>
        <w:keepNext w:val="0"/>
        <w:keepLines w:val="0"/>
        <w:numPr>
          <w:ilvl w:val="0"/>
          <w:numId w:val="2"/>
        </w:numPr>
        <w:ind w:left="360"/>
      </w:pPr>
      <w:proofErr w:type="spellStart"/>
      <w:r w:rsidRPr="00CD7473">
        <w:t>Kletter</w:t>
      </w:r>
      <w:proofErr w:type="spellEnd"/>
      <w:r w:rsidRPr="00CD7473">
        <w:t xml:space="preserve"> GB, Klein KO, Wong YY. A pediatrician’s guide to central precocious puberty. </w:t>
      </w:r>
      <w:r w:rsidRPr="00C47D00">
        <w:t xml:space="preserve">Clin </w:t>
      </w:r>
      <w:proofErr w:type="spellStart"/>
      <w:r w:rsidRPr="00C47D00">
        <w:t>Pediatr</w:t>
      </w:r>
      <w:proofErr w:type="spellEnd"/>
      <w:r w:rsidRPr="00C47D00">
        <w:t xml:space="preserve">. </w:t>
      </w:r>
      <w:proofErr w:type="gramStart"/>
      <w:r w:rsidRPr="00CD7473">
        <w:t>2015;54:414</w:t>
      </w:r>
      <w:proofErr w:type="gramEnd"/>
      <w:r w:rsidRPr="00CD7473">
        <w:t>-424.</w:t>
      </w:r>
    </w:p>
    <w:p w14:paraId="6DA5EEE5" w14:textId="77777777" w:rsidR="00C337E8" w:rsidRPr="00CD7473" w:rsidRDefault="00C337E8" w:rsidP="00C47D00">
      <w:pPr>
        <w:pStyle w:val="ReferenceOrdered"/>
        <w:keepNext w:val="0"/>
        <w:keepLines w:val="0"/>
        <w:numPr>
          <w:ilvl w:val="0"/>
          <w:numId w:val="2"/>
        </w:numPr>
        <w:ind w:left="360"/>
      </w:pPr>
      <w:proofErr w:type="spellStart"/>
      <w:r w:rsidRPr="00CD7473">
        <w:t>Carel</w:t>
      </w:r>
      <w:proofErr w:type="spellEnd"/>
      <w:r w:rsidRPr="00CD7473">
        <w:t xml:space="preserve"> J, </w:t>
      </w:r>
      <w:proofErr w:type="spellStart"/>
      <w:r w:rsidRPr="00CD7473">
        <w:t>Eugster</w:t>
      </w:r>
      <w:proofErr w:type="spellEnd"/>
      <w:r w:rsidRPr="00CD7473">
        <w:t xml:space="preserve"> EA, </w:t>
      </w:r>
      <w:proofErr w:type="spellStart"/>
      <w:r w:rsidRPr="00CD7473">
        <w:t>Rogol</w:t>
      </w:r>
      <w:proofErr w:type="spellEnd"/>
      <w:r w:rsidRPr="00CD7473">
        <w:t xml:space="preserve"> A, et al. Consensus statement on the use of gonadotropin-releasing hormone analogs in children. </w:t>
      </w:r>
      <w:r w:rsidRPr="00C47D00">
        <w:t>Pediatrics</w:t>
      </w:r>
      <w:r w:rsidRPr="00CD7473">
        <w:t>. 2009;</w:t>
      </w:r>
      <w:proofErr w:type="gramStart"/>
      <w:r w:rsidRPr="00CD7473">
        <w:t>123:e</w:t>
      </w:r>
      <w:proofErr w:type="gramEnd"/>
      <w:r w:rsidRPr="00CD7473">
        <w:t>752-e762.</w:t>
      </w:r>
    </w:p>
    <w:p w14:paraId="11CAA84D" w14:textId="77777777" w:rsidR="00C337E8" w:rsidRPr="00CD7473" w:rsidRDefault="00C337E8" w:rsidP="00C47D00">
      <w:pPr>
        <w:pStyle w:val="ReferenceOrdered"/>
        <w:keepNext w:val="0"/>
        <w:keepLines w:val="0"/>
        <w:numPr>
          <w:ilvl w:val="0"/>
          <w:numId w:val="2"/>
        </w:numPr>
        <w:ind w:left="360"/>
      </w:pPr>
      <w:r w:rsidRPr="00CD7473">
        <w:t xml:space="preserve">Bangalore Krishna K, Fuqua JS, </w:t>
      </w:r>
      <w:proofErr w:type="spellStart"/>
      <w:r w:rsidRPr="00CD7473">
        <w:t>Rogol</w:t>
      </w:r>
      <w:proofErr w:type="spellEnd"/>
      <w:r w:rsidRPr="00CD7473">
        <w:t xml:space="preserve"> AD, et al. Use of gonadotropin-releasing hormone analogs in children: Update by an international consortium. </w:t>
      </w:r>
      <w:proofErr w:type="spellStart"/>
      <w:r w:rsidRPr="00C47D00">
        <w:t>Horm</w:t>
      </w:r>
      <w:proofErr w:type="spellEnd"/>
      <w:r w:rsidRPr="00C47D00">
        <w:t xml:space="preserve"> Res </w:t>
      </w:r>
      <w:proofErr w:type="spellStart"/>
      <w:r w:rsidRPr="00C47D00">
        <w:t>Paediatr</w:t>
      </w:r>
      <w:proofErr w:type="spellEnd"/>
      <w:r w:rsidRPr="00CD7473">
        <w:t>. 2019;91(6):357-372.</w:t>
      </w:r>
    </w:p>
    <w:p w14:paraId="155C2F3D" w14:textId="1CD4626B" w:rsidR="00EF6A38" w:rsidRPr="00CD7473" w:rsidRDefault="00EF6A38" w:rsidP="00EF6A38">
      <w:pPr>
        <w:pStyle w:val="ReferenceOrdered"/>
        <w:keepNext w:val="0"/>
        <w:keepLines w:val="0"/>
        <w:numPr>
          <w:ilvl w:val="0"/>
          <w:numId w:val="2"/>
        </w:numPr>
        <w:ind w:left="360"/>
      </w:pPr>
      <w:r w:rsidRPr="00EF6A38">
        <w:rPr>
          <w:lang w:val="fi-FI"/>
        </w:rPr>
        <w:t>Bangalore Krishna K, Silverman LA. Diagnosis of central precocious puberty. Endocrinol Metab Clin North Am. 2024;53(2):217-227.</w:t>
      </w:r>
    </w:p>
    <w:p w14:paraId="7C76038C" w14:textId="77777777" w:rsidR="00C337E8" w:rsidRPr="00CD7473" w:rsidRDefault="00C337E8" w:rsidP="00C47D00">
      <w:pPr>
        <w:pStyle w:val="ReferenceOrdered"/>
        <w:keepNext w:val="0"/>
        <w:keepLines w:val="0"/>
        <w:numPr>
          <w:ilvl w:val="0"/>
          <w:numId w:val="2"/>
        </w:numPr>
        <w:ind w:left="360"/>
      </w:pPr>
      <w:r w:rsidRPr="00CD7473">
        <w:t xml:space="preserve">Kaplowitz P, Bloch C, the Section on Endocrinology. Evaluation and referral of children with signs of early puberty. </w:t>
      </w:r>
      <w:r w:rsidRPr="00C47D00">
        <w:t xml:space="preserve">Pediatrics. </w:t>
      </w:r>
      <w:r w:rsidRPr="00CD7473">
        <w:t>2016;</w:t>
      </w:r>
      <w:proofErr w:type="gramStart"/>
      <w:r w:rsidRPr="00CD7473">
        <w:t>137:e</w:t>
      </w:r>
      <w:proofErr w:type="gramEnd"/>
      <w:r w:rsidRPr="00CD7473">
        <w:t>20153732.</w:t>
      </w:r>
    </w:p>
    <w:p w14:paraId="157D9919" w14:textId="77777777" w:rsidR="00C337E8" w:rsidRPr="00CA58B8" w:rsidRDefault="00C337E8" w:rsidP="00C47D00">
      <w:pPr>
        <w:pStyle w:val="ReferenceOrdered"/>
        <w:keepNext w:val="0"/>
        <w:keepLines w:val="0"/>
        <w:numPr>
          <w:ilvl w:val="0"/>
          <w:numId w:val="2"/>
        </w:numPr>
        <w:ind w:left="360"/>
      </w:pPr>
      <w:proofErr w:type="spellStart"/>
      <w:r w:rsidRPr="00CA58B8">
        <w:t>Hembree</w:t>
      </w:r>
      <w:proofErr w:type="spellEnd"/>
      <w:r w:rsidRPr="00CA58B8">
        <w:t xml:space="preserve"> WC, Cohen-</w:t>
      </w:r>
      <w:proofErr w:type="spellStart"/>
      <w:r w:rsidRPr="00CA58B8">
        <w:t>Kettenis</w:t>
      </w:r>
      <w:proofErr w:type="spellEnd"/>
      <w:r w:rsidRPr="00CA58B8">
        <w:t xml:space="preserve"> PT, </w:t>
      </w:r>
      <w:proofErr w:type="spellStart"/>
      <w:r w:rsidRPr="00CA58B8">
        <w:t>Gooren</w:t>
      </w:r>
      <w:proofErr w:type="spellEnd"/>
      <w:r w:rsidRPr="00CA58B8">
        <w:t xml:space="preserve"> L, et al. Endocrine Treatment of Gender-Dysphoric/Gender-Incongruent Persons: An Endocrine Society Clinical Practice Guideline. </w:t>
      </w:r>
      <w:r w:rsidRPr="00C47D00">
        <w:t xml:space="preserve">J Clin Endocrinol </w:t>
      </w:r>
      <w:proofErr w:type="spellStart"/>
      <w:r w:rsidRPr="00C47D00">
        <w:t>Metab</w:t>
      </w:r>
      <w:proofErr w:type="spellEnd"/>
      <w:r w:rsidRPr="00C47D00">
        <w:t>.</w:t>
      </w:r>
      <w:r w:rsidRPr="00CA58B8">
        <w:t xml:space="preserve"> 2017:102(11):3869–3903. </w:t>
      </w:r>
    </w:p>
    <w:p w14:paraId="0E672336" w14:textId="77777777" w:rsidR="00C337E8" w:rsidRPr="00CA58B8" w:rsidRDefault="00C337E8" w:rsidP="00C47D00">
      <w:pPr>
        <w:pStyle w:val="ReferenceOrdered"/>
        <w:keepNext w:val="0"/>
        <w:keepLines w:val="0"/>
        <w:numPr>
          <w:ilvl w:val="0"/>
          <w:numId w:val="2"/>
        </w:numPr>
        <w:ind w:left="360"/>
      </w:pPr>
      <w:r w:rsidRPr="00CA58B8">
        <w:t>Gender Identity Research and Education Society. Guidance for GPs and other clinicians on the treatment of gender variant people. UK Department of Health. Published March 10, 2008.</w:t>
      </w:r>
    </w:p>
    <w:p w14:paraId="13DE1EFF" w14:textId="2B16D7DA" w:rsidR="00AF4A78" w:rsidRPr="00AF4A78" w:rsidRDefault="00AF4A78" w:rsidP="00C47D00">
      <w:pPr>
        <w:pStyle w:val="ReferenceOrdered"/>
        <w:keepNext w:val="0"/>
        <w:keepLines w:val="0"/>
        <w:numPr>
          <w:ilvl w:val="0"/>
          <w:numId w:val="2"/>
        </w:numPr>
        <w:ind w:left="360"/>
      </w:pPr>
      <w:bookmarkStart w:id="1" w:name="_Hlk158374290"/>
      <w:r w:rsidRPr="0031111A">
        <w:rPr>
          <w:lang w:val="it-IT"/>
        </w:rPr>
        <w:t xml:space="preserve">Coleman E, Radix AE, Brown GR, et al. </w:t>
      </w:r>
      <w:r w:rsidRPr="00C47D00">
        <w:t>Standards of care for the health of transgender and gender diverse people, version 8. 2022;23(Suppl 1</w:t>
      </w:r>
      <w:proofErr w:type="gramStart"/>
      <w:r w:rsidRPr="00C47D00">
        <w:t>):S</w:t>
      </w:r>
      <w:proofErr w:type="gramEnd"/>
      <w:r w:rsidRPr="00C47D00">
        <w:t>1-S259</w:t>
      </w:r>
      <w:bookmarkStart w:id="2" w:name="OLE_LINK17"/>
      <w:r w:rsidRPr="00C47D00">
        <w:t>.</w:t>
      </w:r>
      <w:bookmarkEnd w:id="2"/>
      <w:r w:rsidRPr="00C47D00">
        <w:t xml:space="preserve"> </w:t>
      </w:r>
      <w:proofErr w:type="spellStart"/>
      <w:r w:rsidRPr="00C47D00">
        <w:t>doi</w:t>
      </w:r>
      <w:proofErr w:type="spellEnd"/>
      <w:r w:rsidRPr="00C47D00">
        <w:t>: 10.1080/26895269.2022.2100644</w:t>
      </w:r>
      <w:bookmarkEnd w:id="1"/>
    </w:p>
    <w:p w14:paraId="29E368DF" w14:textId="2AC184BC" w:rsidR="00C337E8" w:rsidRPr="00CD7473" w:rsidRDefault="00C337E8" w:rsidP="00C47D00">
      <w:pPr>
        <w:pStyle w:val="ReferenceOrdered"/>
        <w:keepNext w:val="0"/>
        <w:keepLines w:val="0"/>
        <w:numPr>
          <w:ilvl w:val="0"/>
          <w:numId w:val="2"/>
        </w:numPr>
        <w:ind w:left="360"/>
      </w:pPr>
      <w:bookmarkStart w:id="3" w:name="OLE_LINK5"/>
      <w:r w:rsidRPr="7BADDF7E">
        <w:rPr>
          <w:lang w:val="it-IT"/>
        </w:rPr>
        <w:t xml:space="preserve">Cheuiche AV, da Silveira LG, de Paula LCP, </w:t>
      </w:r>
      <w:r w:rsidR="59E06909" w:rsidRPr="7BADDF7E">
        <w:rPr>
          <w:lang w:val="it-IT"/>
        </w:rPr>
        <w:t>et al</w:t>
      </w:r>
      <w:r w:rsidRPr="7BADDF7E">
        <w:rPr>
          <w:lang w:val="it-IT"/>
        </w:rPr>
        <w:t xml:space="preserve">. </w:t>
      </w:r>
      <w:r>
        <w:t xml:space="preserve">Diagnosis and management of precocious sexual maturation: an updated review. </w:t>
      </w:r>
      <w:proofErr w:type="spellStart"/>
      <w:r>
        <w:t>Eur</w:t>
      </w:r>
      <w:proofErr w:type="spellEnd"/>
      <w:r>
        <w:t xml:space="preserve"> J </w:t>
      </w:r>
      <w:proofErr w:type="spellStart"/>
      <w:r>
        <w:t>Pediatr</w:t>
      </w:r>
      <w:proofErr w:type="spellEnd"/>
      <w:r>
        <w:t>. 2021;180(10):3073-3087.</w:t>
      </w:r>
      <w:bookmarkEnd w:id="3"/>
    </w:p>
    <w:p w14:paraId="143AEE35" w14:textId="2FF00218" w:rsidR="00C337E8" w:rsidRPr="00CD7473" w:rsidRDefault="00C337E8" w:rsidP="00C47D00">
      <w:pPr>
        <w:pStyle w:val="ReferenceOrdered"/>
        <w:keepNext w:val="0"/>
        <w:keepLines w:val="0"/>
        <w:numPr>
          <w:ilvl w:val="0"/>
          <w:numId w:val="2"/>
        </w:numPr>
        <w:ind w:left="360"/>
      </w:pPr>
      <w:bookmarkStart w:id="4" w:name="OLE_LINK36"/>
      <w:bookmarkStart w:id="5" w:name="OLE_LINK41"/>
      <w:proofErr w:type="spellStart"/>
      <w:r w:rsidRPr="00CD7473">
        <w:t>Mahfouda</w:t>
      </w:r>
      <w:proofErr w:type="spellEnd"/>
      <w:r w:rsidRPr="00CD7473">
        <w:t xml:space="preserve"> S, Moore JK, </w:t>
      </w:r>
      <w:proofErr w:type="spellStart"/>
      <w:r w:rsidRPr="00CD7473">
        <w:t>Siafarikas</w:t>
      </w:r>
      <w:proofErr w:type="spellEnd"/>
      <w:r w:rsidRPr="00CD7473">
        <w:t xml:space="preserve"> A, et al. Puberty Suppression in </w:t>
      </w:r>
      <w:r w:rsidR="0044459C">
        <w:t>t</w:t>
      </w:r>
      <w:r w:rsidRPr="00CD7473">
        <w:t xml:space="preserve">ransgender </w:t>
      </w:r>
      <w:r w:rsidR="0044459C">
        <w:t>c</w:t>
      </w:r>
      <w:r w:rsidRPr="00CD7473">
        <w:t xml:space="preserve">hildren and </w:t>
      </w:r>
      <w:r w:rsidR="0044459C">
        <w:t>a</w:t>
      </w:r>
      <w:r w:rsidRPr="00CD7473">
        <w:t xml:space="preserve">dolescents. </w:t>
      </w:r>
      <w:r w:rsidRPr="00C47D00">
        <w:t>Lancet Diabetes Endocrinol</w:t>
      </w:r>
      <w:r w:rsidRPr="00CD7473">
        <w:t>. 2017; 5: 816-26.</w:t>
      </w:r>
    </w:p>
    <w:p w14:paraId="33D12DC3" w14:textId="77777777" w:rsidR="00C337E8" w:rsidRDefault="00C337E8" w:rsidP="00C47D00">
      <w:pPr>
        <w:pStyle w:val="ReferenceOrdered"/>
        <w:keepNext w:val="0"/>
        <w:keepLines w:val="0"/>
        <w:numPr>
          <w:ilvl w:val="0"/>
          <w:numId w:val="2"/>
        </w:numPr>
        <w:ind w:left="360"/>
      </w:pPr>
      <w:bookmarkStart w:id="6" w:name="OLE_LINK33"/>
      <w:r w:rsidRPr="00CD7473">
        <w:t xml:space="preserve">Health Care for Transgender and Gender Diverse Individuals. ©2021 The American College of Obstetricians and Gynecologists. Available at: </w:t>
      </w:r>
      <w:hyperlink r:id="rId15" w:history="1">
        <w:r w:rsidRPr="00C47D00">
          <w:t>https://www.acog.org/clinical/clinical-guidance/committee-opinion/articles/2021/03/health-care-for-transgender-and-gender-diverse-individuals</w:t>
        </w:r>
      </w:hyperlink>
      <w:bookmarkEnd w:id="6"/>
      <w:r w:rsidRPr="00CD7473">
        <w:t>.</w:t>
      </w:r>
    </w:p>
    <w:p w14:paraId="3777516D" w14:textId="2F095226" w:rsidR="00EF06EE" w:rsidRPr="00CD7473" w:rsidRDefault="00EF06EE" w:rsidP="00C47D00">
      <w:pPr>
        <w:pStyle w:val="ReferenceOrdered"/>
        <w:keepNext w:val="0"/>
        <w:keepLines w:val="0"/>
        <w:numPr>
          <w:ilvl w:val="0"/>
          <w:numId w:val="2"/>
        </w:numPr>
        <w:ind w:left="360"/>
      </w:pPr>
      <w:r w:rsidRPr="7BADDF7E">
        <w:rPr>
          <w:lang w:val="it-IT"/>
        </w:rPr>
        <w:t xml:space="preserve">Popovic J, Geffner ME, Rogol AD, et al. </w:t>
      </w:r>
      <w:r>
        <w:t xml:space="preserve">Gonadotropin-releasing hormone analog therapies for children with central precocious puberty in the United States. Front </w:t>
      </w:r>
      <w:proofErr w:type="spellStart"/>
      <w:r>
        <w:t>Pedia</w:t>
      </w:r>
      <w:r w:rsidR="4255794C">
        <w:t>t</w:t>
      </w:r>
      <w:r>
        <w:t>r</w:t>
      </w:r>
      <w:proofErr w:type="spellEnd"/>
      <w:r>
        <w:t xml:space="preserve">. </w:t>
      </w:r>
      <w:proofErr w:type="gramStart"/>
      <w:r>
        <w:t>2022;10:968485</w:t>
      </w:r>
      <w:proofErr w:type="gramEnd"/>
      <w:r>
        <w:t>. doi:10.3389/fped.2022.968485</w:t>
      </w:r>
      <w:bookmarkEnd w:id="4"/>
      <w:bookmarkEnd w:id="5"/>
    </w:p>
    <w:sectPr w:rsidR="00EF06EE" w:rsidRPr="00CD7473" w:rsidSect="00CD7473">
      <w:headerReference w:type="first" r:id="rId16"/>
      <w:footerReference w:type="first" r:id="rId17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A335A" w14:textId="77777777" w:rsidR="00762262" w:rsidRDefault="00762262">
      <w:r>
        <w:separator/>
      </w:r>
    </w:p>
  </w:endnote>
  <w:endnote w:type="continuationSeparator" w:id="0">
    <w:p w14:paraId="0FFCB205" w14:textId="77777777" w:rsidR="00762262" w:rsidRDefault="00762262">
      <w:r>
        <w:continuationSeparator/>
      </w:r>
    </w:p>
  </w:endnote>
  <w:endnote w:type="continuationNotice" w:id="1">
    <w:p w14:paraId="5ADB6107" w14:textId="77777777" w:rsidR="00762262" w:rsidRDefault="007622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4F60C537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082FF9" w:rsidRPr="00082FF9">
      <w:rPr>
        <w:rFonts w:cs="Arial"/>
        <w:noProof/>
        <w:sz w:val="16"/>
        <w:szCs w:val="16"/>
      </w:rPr>
      <w:t>Lupron</w:t>
    </w:r>
    <w:r w:rsidR="00082FF9">
      <w:rPr>
        <w:rFonts w:cs="Arial"/>
        <w:noProof/>
        <w:snapToGrid w:val="0"/>
        <w:color w:val="000000"/>
        <w:sz w:val="16"/>
        <w:szCs w:val="16"/>
      </w:rPr>
      <w:t xml:space="preserve"> Depot-PED SGM</w:t>
    </w:r>
    <w:r w:rsidR="00082FF9" w:rsidRPr="00082FF9">
      <w:rPr>
        <w:rFonts w:cs="Arial"/>
        <w:noProof/>
        <w:sz w:val="16"/>
        <w:szCs w:val="16"/>
      </w:rPr>
      <w:t xml:space="preserve"> 1972-A</w:t>
    </w:r>
    <w:r w:rsidR="00082FF9">
      <w:rPr>
        <w:rFonts w:cs="Arial"/>
        <w:noProof/>
        <w:snapToGrid w:val="0"/>
        <w:color w:val="000000"/>
        <w:sz w:val="16"/>
        <w:szCs w:val="16"/>
      </w:rPr>
      <w:t xml:space="preserve"> 6051-A P2025a.docx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BA6438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4E7ABC4D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1276535D" w:rsidR="00F75C81" w:rsidRPr="00AA1E6A" w:rsidRDefault="00C36B72" w:rsidP="00CD7473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630B9E55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082FF9" w:rsidRPr="00082FF9">
      <w:rPr>
        <w:rFonts w:cs="Arial"/>
        <w:noProof/>
        <w:sz w:val="16"/>
        <w:szCs w:val="16"/>
      </w:rPr>
      <w:t>Lupron</w:t>
    </w:r>
    <w:r w:rsidR="00082FF9">
      <w:rPr>
        <w:rFonts w:cs="Arial"/>
        <w:noProof/>
        <w:snapToGrid w:val="0"/>
        <w:color w:val="000000"/>
        <w:sz w:val="16"/>
        <w:szCs w:val="16"/>
      </w:rPr>
      <w:t xml:space="preserve"> Depot-PED SGM</w:t>
    </w:r>
    <w:r w:rsidR="00082FF9" w:rsidRPr="00082FF9">
      <w:rPr>
        <w:rFonts w:cs="Arial"/>
        <w:noProof/>
        <w:sz w:val="16"/>
        <w:szCs w:val="16"/>
      </w:rPr>
      <w:t xml:space="preserve"> 1972-A</w:t>
    </w:r>
    <w:r w:rsidR="00082FF9">
      <w:rPr>
        <w:rFonts w:cs="Arial"/>
        <w:noProof/>
        <w:snapToGrid w:val="0"/>
        <w:color w:val="000000"/>
        <w:sz w:val="16"/>
        <w:szCs w:val="16"/>
      </w:rPr>
      <w:t xml:space="preserve"> 6051-A P2025a.docx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BA6438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277506C6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2611E300" w:rsidR="00ED04EC" w:rsidRPr="00F50D98" w:rsidRDefault="00F50D98" w:rsidP="00CD7473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7802F" w14:textId="77777777" w:rsidR="00C337E8" w:rsidRPr="00EC47B6" w:rsidRDefault="00C337E8" w:rsidP="00C337E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Pr="008C5429">
      <w:rPr>
        <w:rFonts w:cs="Arial"/>
        <w:noProof/>
        <w:sz w:val="16"/>
        <w:szCs w:val="16"/>
      </w:rPr>
      <w:t>Lupron</w:t>
    </w:r>
    <w:r>
      <w:rPr>
        <w:rFonts w:cs="Arial"/>
        <w:noProof/>
        <w:snapToGrid w:val="0"/>
        <w:color w:val="000000"/>
        <w:sz w:val="16"/>
        <w:szCs w:val="16"/>
      </w:rPr>
      <w:t xml:space="preserve"> Depot-PED SGM</w:t>
    </w:r>
    <w:r w:rsidRPr="008C5429">
      <w:rPr>
        <w:rFonts w:cs="Arial"/>
        <w:noProof/>
        <w:sz w:val="16"/>
        <w:szCs w:val="16"/>
      </w:rPr>
      <w:t xml:space="preserve"> 1972-A,</w:t>
    </w:r>
    <w:r>
      <w:rPr>
        <w:rFonts w:cs="Arial"/>
        <w:noProof/>
        <w:snapToGrid w:val="0"/>
        <w:color w:val="000000"/>
        <w:sz w:val="16"/>
        <w:szCs w:val="16"/>
      </w:rPr>
      <w:t xml:space="preserve"> 6051-A 2023a_R.docx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2024 CVS Caremark. All rights reserved.</w:t>
    </w:r>
  </w:p>
  <w:p w14:paraId="548D6F67" w14:textId="77777777" w:rsidR="00C337E8" w:rsidRPr="00EC47B6" w:rsidRDefault="00C337E8" w:rsidP="00C337E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 xml:space="preserve">. </w:t>
    </w:r>
  </w:p>
  <w:p w14:paraId="706D1674" w14:textId="3D12EAA0" w:rsidR="000F5383" w:rsidRPr="00C337E8" w:rsidRDefault="00C337E8" w:rsidP="00CD7473">
    <w:pPr>
      <w:tabs>
        <w:tab w:val="right" w:pos="10710"/>
      </w:tabs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4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E6306" w14:textId="77777777" w:rsidR="00762262" w:rsidRDefault="00762262">
      <w:r>
        <w:separator/>
      </w:r>
    </w:p>
  </w:footnote>
  <w:footnote w:type="continuationSeparator" w:id="0">
    <w:p w14:paraId="21BE7F8F" w14:textId="77777777" w:rsidR="00762262" w:rsidRDefault="00762262">
      <w:r>
        <w:continuationSeparator/>
      </w:r>
    </w:p>
  </w:footnote>
  <w:footnote w:type="continuationNotice" w:id="1">
    <w:p w14:paraId="6C280AF9" w14:textId="77777777" w:rsidR="00762262" w:rsidRDefault="007622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A36C7A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C33BDD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C33BDD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A36C7A">
      <w:trPr>
        <w:trHeight w:val="378"/>
        <w:jc w:val="right"/>
      </w:trPr>
      <w:tc>
        <w:tcPr>
          <w:tcW w:w="1854" w:type="dxa"/>
          <w:hideMark/>
        </w:tcPr>
        <w:p w14:paraId="51CE3E64" w14:textId="4F345651" w:rsidR="00ED04EC" w:rsidRPr="00C33BDD" w:rsidRDefault="00450852" w:rsidP="00ED04EC">
          <w:pPr>
            <w:pStyle w:val="Header"/>
            <w:rPr>
              <w:rFonts w:cs="Arial"/>
              <w:color w:val="FF0000"/>
              <w:sz w:val="16"/>
              <w:szCs w:val="16"/>
            </w:rPr>
          </w:pPr>
          <w:r w:rsidRPr="00C33BDD">
            <w:rPr>
              <w:rFonts w:cs="Arial"/>
              <w:sz w:val="16"/>
              <w:szCs w:val="16"/>
            </w:rPr>
            <w:t>1972-A, 6051-A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A36C7A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C33BDD" w:rsidRDefault="000F5383" w:rsidP="000F5383">
          <w:pPr>
            <w:pStyle w:val="Header"/>
            <w:rPr>
              <w:rFonts w:cs="Arial"/>
              <w:sz w:val="16"/>
              <w:szCs w:val="16"/>
            </w:rPr>
          </w:pPr>
          <w:r w:rsidRPr="00C33BDD">
            <w:rPr>
              <w:rFonts w:cs="Arial"/>
              <w:sz w:val="16"/>
              <w:szCs w:val="16"/>
            </w:rPr>
            <w:t>Reference number(s)</w:t>
          </w:r>
        </w:p>
      </w:tc>
    </w:tr>
    <w:tr w:rsidR="000F5383" w:rsidRPr="00ED04EC" w14:paraId="2259874D" w14:textId="77777777" w:rsidTr="00A36C7A">
      <w:trPr>
        <w:trHeight w:val="378"/>
        <w:jc w:val="right"/>
      </w:trPr>
      <w:tc>
        <w:tcPr>
          <w:tcW w:w="1854" w:type="dxa"/>
          <w:hideMark/>
        </w:tcPr>
        <w:p w14:paraId="475EFE95" w14:textId="1EF5E777" w:rsidR="000F5383" w:rsidRPr="00C33BDD" w:rsidRDefault="00E75CBD" w:rsidP="000F5383">
          <w:pPr>
            <w:pStyle w:val="Header"/>
            <w:rPr>
              <w:rFonts w:cs="Arial"/>
              <w:color w:val="FF0000"/>
              <w:sz w:val="16"/>
              <w:szCs w:val="16"/>
            </w:rPr>
          </w:pPr>
          <w:r w:rsidRPr="00C33BDD">
            <w:rPr>
              <w:rFonts w:cs="Arial"/>
              <w:sz w:val="16"/>
              <w:szCs w:val="16"/>
            </w:rPr>
            <w:t>1972-A, 6051-A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16216"/>
    <w:multiLevelType w:val="hybridMultilevel"/>
    <w:tmpl w:val="25AA3EB8"/>
    <w:lvl w:ilvl="0" w:tplc="0E40F90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643EE0"/>
    <w:multiLevelType w:val="hybridMultilevel"/>
    <w:tmpl w:val="D7B27A1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2C801DC"/>
    <w:multiLevelType w:val="hybridMultilevel"/>
    <w:tmpl w:val="036E0860"/>
    <w:lvl w:ilvl="0" w:tplc="9B1E5ECE">
      <w:start w:val="1"/>
      <w:numFmt w:val="upperLetter"/>
      <w:pStyle w:val="ReferenceInternal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7B4B3C"/>
    <w:multiLevelType w:val="hybridMultilevel"/>
    <w:tmpl w:val="DE38AF36"/>
    <w:lvl w:ilvl="0" w:tplc="FFFFFFFF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5B7B57"/>
    <w:multiLevelType w:val="hybridMultilevel"/>
    <w:tmpl w:val="F4CCE222"/>
    <w:lvl w:ilvl="0" w:tplc="9D16F11A">
      <w:start w:val="1"/>
      <w:numFmt w:val="upperLetter"/>
      <w:lvlText w:val="%1."/>
      <w:lvlJc w:val="left"/>
      <w:pPr>
        <w:ind w:left="1080" w:hanging="360"/>
      </w:pPr>
      <w:rPr>
        <w:rFonts w:ascii="Arial" w:eastAsia="Times New Roman" w:hAnsi="Arial" w:cs="Arial"/>
        <w:color w:val="auto"/>
      </w:rPr>
    </w:lvl>
    <w:lvl w:ilvl="1" w:tplc="D64A6F08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B4A820D8">
      <w:start w:val="1"/>
      <w:numFmt w:val="decimal"/>
      <w:lvlText w:val="%4."/>
      <w:lvlJc w:val="left"/>
      <w:pPr>
        <w:ind w:left="1440" w:hanging="360"/>
      </w:pPr>
      <w:rPr>
        <w:rFonts w:ascii="Arial" w:eastAsia="Times New Roman" w:hAnsi="Arial" w:cs="Arial"/>
      </w:rPr>
    </w:lvl>
    <w:lvl w:ilvl="4" w:tplc="6C161202">
      <w:start w:val="1"/>
      <w:numFmt w:val="lowerRoman"/>
      <w:lvlText w:val="%5."/>
      <w:lvlJc w:val="left"/>
      <w:pPr>
        <w:ind w:left="1800" w:hanging="360"/>
      </w:pPr>
      <w:rPr>
        <w:rFonts w:hint="default"/>
        <w:sz w:val="20"/>
        <w:szCs w:val="20"/>
      </w:rPr>
    </w:lvl>
    <w:lvl w:ilvl="5" w:tplc="0409001B">
      <w:start w:val="1"/>
      <w:numFmt w:val="lowerRoman"/>
      <w:lvlText w:val="%6."/>
      <w:lvlJc w:val="right"/>
      <w:pPr>
        <w:ind w:left="216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C6B2130"/>
    <w:multiLevelType w:val="hybridMultilevel"/>
    <w:tmpl w:val="CB340A6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01134A"/>
    <w:multiLevelType w:val="hybridMultilevel"/>
    <w:tmpl w:val="7E84118C"/>
    <w:lvl w:ilvl="0" w:tplc="D61C83D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8326B1"/>
    <w:multiLevelType w:val="hybridMultilevel"/>
    <w:tmpl w:val="48ECD526"/>
    <w:lvl w:ilvl="0" w:tplc="8ADEE21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5D44F4"/>
    <w:multiLevelType w:val="hybridMultilevel"/>
    <w:tmpl w:val="EC7C0D3C"/>
    <w:lvl w:ilvl="0" w:tplc="6C161202">
      <w:start w:val="1"/>
      <w:numFmt w:val="lowerRoman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8"/>
  </w:num>
  <w:num w:numId="3" w16cid:durableId="611589570">
    <w:abstractNumId w:val="23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1"/>
  </w:num>
  <w:num w:numId="16" w16cid:durableId="898320195">
    <w:abstractNumId w:val="20"/>
  </w:num>
  <w:num w:numId="17" w16cid:durableId="2128498676">
    <w:abstractNumId w:val="30"/>
  </w:num>
  <w:num w:numId="18" w16cid:durableId="299724409">
    <w:abstractNumId w:val="25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32"/>
  </w:num>
  <w:num w:numId="22" w16cid:durableId="1472481103">
    <w:abstractNumId w:val="27"/>
  </w:num>
  <w:num w:numId="23" w16cid:durableId="1997420403">
    <w:abstractNumId w:val="29"/>
  </w:num>
  <w:num w:numId="24" w16cid:durableId="33312838">
    <w:abstractNumId w:val="26"/>
  </w:num>
  <w:num w:numId="25" w16cid:durableId="507404939">
    <w:abstractNumId w:val="19"/>
  </w:num>
  <w:num w:numId="26" w16cid:durableId="568736777">
    <w:abstractNumId w:val="24"/>
  </w:num>
  <w:num w:numId="27" w16cid:durableId="229847949">
    <w:abstractNumId w:val="10"/>
  </w:num>
  <w:num w:numId="28" w16cid:durableId="835072065">
    <w:abstractNumId w:val="17"/>
  </w:num>
  <w:num w:numId="29" w16cid:durableId="1498417734">
    <w:abstractNumId w:val="16"/>
  </w:num>
  <w:num w:numId="30" w16cid:durableId="1440879646">
    <w:abstractNumId w:val="21"/>
  </w:num>
  <w:num w:numId="31" w16cid:durableId="382411979">
    <w:abstractNumId w:val="31"/>
  </w:num>
  <w:num w:numId="32" w16cid:durableId="786852415">
    <w:abstractNumId w:val="32"/>
  </w:num>
  <w:num w:numId="33" w16cid:durableId="1949510832">
    <w:abstractNumId w:val="32"/>
  </w:num>
  <w:num w:numId="34" w16cid:durableId="2044137256">
    <w:abstractNumId w:val="18"/>
  </w:num>
  <w:num w:numId="35" w16cid:durableId="104374908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1056158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5E4B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705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2FF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4E82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0E0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E0438"/>
    <w:rsid w:val="000E095D"/>
    <w:rsid w:val="000E0C62"/>
    <w:rsid w:val="000E24FA"/>
    <w:rsid w:val="000E2C85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6CA7"/>
    <w:rsid w:val="00117495"/>
    <w:rsid w:val="0011772F"/>
    <w:rsid w:val="001202DD"/>
    <w:rsid w:val="00121BD0"/>
    <w:rsid w:val="00121F7F"/>
    <w:rsid w:val="00122472"/>
    <w:rsid w:val="001244EB"/>
    <w:rsid w:val="00125550"/>
    <w:rsid w:val="00126A9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618E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4D80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337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1A30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208E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3B0A"/>
    <w:rsid w:val="002C3E31"/>
    <w:rsid w:val="002C4044"/>
    <w:rsid w:val="002C4DE3"/>
    <w:rsid w:val="002C554A"/>
    <w:rsid w:val="002C56FC"/>
    <w:rsid w:val="002C5C53"/>
    <w:rsid w:val="002C6509"/>
    <w:rsid w:val="002C6711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167A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6CDA"/>
    <w:rsid w:val="003070FF"/>
    <w:rsid w:val="00307499"/>
    <w:rsid w:val="00307DCC"/>
    <w:rsid w:val="0031111A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4F96"/>
    <w:rsid w:val="003357AB"/>
    <w:rsid w:val="003363E7"/>
    <w:rsid w:val="003364EB"/>
    <w:rsid w:val="00336990"/>
    <w:rsid w:val="003377F1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1931"/>
    <w:rsid w:val="003524E5"/>
    <w:rsid w:val="00352959"/>
    <w:rsid w:val="00352B5E"/>
    <w:rsid w:val="00352BC7"/>
    <w:rsid w:val="003543BE"/>
    <w:rsid w:val="00354AE7"/>
    <w:rsid w:val="00354CFD"/>
    <w:rsid w:val="00355398"/>
    <w:rsid w:val="00355509"/>
    <w:rsid w:val="0035565C"/>
    <w:rsid w:val="00355DCF"/>
    <w:rsid w:val="003569BC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0F0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6F74"/>
    <w:rsid w:val="003A7860"/>
    <w:rsid w:val="003A796A"/>
    <w:rsid w:val="003B009E"/>
    <w:rsid w:val="003B1472"/>
    <w:rsid w:val="003B1A5F"/>
    <w:rsid w:val="003B1D0F"/>
    <w:rsid w:val="003B282B"/>
    <w:rsid w:val="003B2B19"/>
    <w:rsid w:val="003B3B8D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5119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D7E3F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5BC6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601C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59C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0852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5E85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326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4A43"/>
    <w:rsid w:val="00596960"/>
    <w:rsid w:val="005970A9"/>
    <w:rsid w:val="00597579"/>
    <w:rsid w:val="00597BF2"/>
    <w:rsid w:val="005A015C"/>
    <w:rsid w:val="005A04AA"/>
    <w:rsid w:val="005A09BB"/>
    <w:rsid w:val="005A0E43"/>
    <w:rsid w:val="005A1D69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C7F43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3C1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1B7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0EF7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C6D"/>
    <w:rsid w:val="00685E5D"/>
    <w:rsid w:val="0068667E"/>
    <w:rsid w:val="00687C15"/>
    <w:rsid w:val="006909A7"/>
    <w:rsid w:val="00690BF8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26E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5E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770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47C8C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62"/>
    <w:rsid w:val="007622EA"/>
    <w:rsid w:val="007627F6"/>
    <w:rsid w:val="007628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641D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5D5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4672D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1B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B7F98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C636B"/>
    <w:rsid w:val="008C7E79"/>
    <w:rsid w:val="008D0F23"/>
    <w:rsid w:val="008D1B34"/>
    <w:rsid w:val="008D2B93"/>
    <w:rsid w:val="008D31AD"/>
    <w:rsid w:val="008D3802"/>
    <w:rsid w:val="008D4F54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2DC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1D1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16D0B"/>
    <w:rsid w:val="0092167E"/>
    <w:rsid w:val="00921E32"/>
    <w:rsid w:val="00921E89"/>
    <w:rsid w:val="00922097"/>
    <w:rsid w:val="009220E9"/>
    <w:rsid w:val="00922DD4"/>
    <w:rsid w:val="00923E67"/>
    <w:rsid w:val="00923E96"/>
    <w:rsid w:val="00924A9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27C6"/>
    <w:rsid w:val="00934A46"/>
    <w:rsid w:val="00935BC3"/>
    <w:rsid w:val="00937266"/>
    <w:rsid w:val="00940AA9"/>
    <w:rsid w:val="00941264"/>
    <w:rsid w:val="0094296E"/>
    <w:rsid w:val="0094298C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57A6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E97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129E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0741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6C7A"/>
    <w:rsid w:val="00A37EFC"/>
    <w:rsid w:val="00A40451"/>
    <w:rsid w:val="00A40764"/>
    <w:rsid w:val="00A40A9D"/>
    <w:rsid w:val="00A40FC8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2FED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0B71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6CF"/>
    <w:rsid w:val="00AF1B67"/>
    <w:rsid w:val="00AF2C40"/>
    <w:rsid w:val="00AF351C"/>
    <w:rsid w:val="00AF436C"/>
    <w:rsid w:val="00AF48F4"/>
    <w:rsid w:val="00AF4939"/>
    <w:rsid w:val="00AF4A78"/>
    <w:rsid w:val="00AF4B35"/>
    <w:rsid w:val="00AF525C"/>
    <w:rsid w:val="00AF56FA"/>
    <w:rsid w:val="00AF584B"/>
    <w:rsid w:val="00AF63D8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3C34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6438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787"/>
    <w:rsid w:val="00BC3CA7"/>
    <w:rsid w:val="00BC3F0E"/>
    <w:rsid w:val="00BC3F14"/>
    <w:rsid w:val="00BC47DC"/>
    <w:rsid w:val="00BC51D6"/>
    <w:rsid w:val="00BC51E9"/>
    <w:rsid w:val="00BC62C0"/>
    <w:rsid w:val="00BC633A"/>
    <w:rsid w:val="00BC63B0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1FB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5E9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6D1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3FF1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7E8"/>
    <w:rsid w:val="00C33BDD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47D00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8B8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1B5B"/>
    <w:rsid w:val="00CD3C27"/>
    <w:rsid w:val="00CD4084"/>
    <w:rsid w:val="00CD59BF"/>
    <w:rsid w:val="00CD6E3C"/>
    <w:rsid w:val="00CD7473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78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5D7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968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BF1"/>
    <w:rsid w:val="00DB793D"/>
    <w:rsid w:val="00DC1591"/>
    <w:rsid w:val="00DC2163"/>
    <w:rsid w:val="00DC2997"/>
    <w:rsid w:val="00DC3267"/>
    <w:rsid w:val="00DC34C2"/>
    <w:rsid w:val="00DC46DA"/>
    <w:rsid w:val="00DC4AC0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51D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5AF5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1F9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3D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9A6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5CBD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06EE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6A3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ACB"/>
    <w:rsid w:val="00F21B41"/>
    <w:rsid w:val="00F23678"/>
    <w:rsid w:val="00F23747"/>
    <w:rsid w:val="00F2430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0F1"/>
    <w:rsid w:val="00F70605"/>
    <w:rsid w:val="00F70900"/>
    <w:rsid w:val="00F70D49"/>
    <w:rsid w:val="00F718A3"/>
    <w:rsid w:val="00F71DC9"/>
    <w:rsid w:val="00F729CF"/>
    <w:rsid w:val="00F72FC2"/>
    <w:rsid w:val="00F73D09"/>
    <w:rsid w:val="00F749A8"/>
    <w:rsid w:val="00F74F32"/>
    <w:rsid w:val="00F75C81"/>
    <w:rsid w:val="00F760BB"/>
    <w:rsid w:val="00F76A97"/>
    <w:rsid w:val="00F76D2C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1DF"/>
    <w:rsid w:val="00F87688"/>
    <w:rsid w:val="00F877F0"/>
    <w:rsid w:val="00F87ECD"/>
    <w:rsid w:val="00F9028E"/>
    <w:rsid w:val="00F906B6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1B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F93"/>
    <w:rsid w:val="00FF7695"/>
    <w:rsid w:val="0CC4862F"/>
    <w:rsid w:val="1685F473"/>
    <w:rsid w:val="1A61DBC5"/>
    <w:rsid w:val="27AB1FC3"/>
    <w:rsid w:val="29729D5D"/>
    <w:rsid w:val="2A87B62C"/>
    <w:rsid w:val="2D938400"/>
    <w:rsid w:val="4255794C"/>
    <w:rsid w:val="43EC350A"/>
    <w:rsid w:val="479D8548"/>
    <w:rsid w:val="59E06909"/>
    <w:rsid w:val="5AD05D4E"/>
    <w:rsid w:val="61939E14"/>
    <w:rsid w:val="62C780E2"/>
    <w:rsid w:val="676DAE68"/>
    <w:rsid w:val="6D1DC6A4"/>
    <w:rsid w:val="776C6BD1"/>
    <w:rsid w:val="77EFEA7C"/>
    <w:rsid w:val="79430E2A"/>
    <w:rsid w:val="7BADD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132FC418-5F05-457A-9212-9EDE510B4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210337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CA58B8"/>
    <w:pPr>
      <w:keepNext/>
      <w:keepLines/>
      <w:spacing w:after="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CA58B8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qFormat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erenceInternalOrdered">
    <w:name w:val="Reference Internal Ordered"/>
    <w:basedOn w:val="Normal"/>
    <w:rsid w:val="001D4D80"/>
    <w:pPr>
      <w:numPr>
        <w:numId w:val="28"/>
      </w:numPr>
      <w:ind w:left="360"/>
    </w:pPr>
    <w:rPr>
      <w:rFonts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7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acog.org/clinical/clinical-guidance/committee-opinion/articles/2021/03/health-care-for-transgender-and-gender-diverse-individuals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626647B-8C8B-4DC7-AA54-345CC365BA6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1108</Words>
  <Characters>6776</Characters>
  <Application>Microsoft Office Word</Application>
  <DocSecurity>0</DocSecurity>
  <Lines>125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Lupron Depot-PED SGM 1972-A 6051-A</vt:lpstr>
    </vt:vector>
  </TitlesOfParts>
  <Company>CVS Caremark</Company>
  <LinksUpToDate>false</LinksUpToDate>
  <CharactersWithSpaces>7792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Lupron Depot-PED SGM 1972-A 6051-A</dc:title>
  <dc:subject>Lupron Depot-PED SGM 1972-A 6051-A</dc:subject>
  <dc:creator>CVS Caremark</dc:creator>
  <cp:keywords/>
  <cp:lastModifiedBy>Reynoso, Victor H</cp:lastModifiedBy>
  <cp:revision>4</cp:revision>
  <cp:lastPrinted>2018-01-09T07:01:00Z</cp:lastPrinted>
  <dcterms:created xsi:type="dcterms:W3CDTF">2025-06-04T14:36:00Z</dcterms:created>
  <dcterms:modified xsi:type="dcterms:W3CDTF">2025-06-04T14:40:00Z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113700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